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A744A5" w:rsidP="00CD697F">
            <w:pPr>
              <w:spacing w:line="280" w:lineRule="exact"/>
              <w:ind w:firstLineChars="110" w:firstLine="231"/>
              <w:rPr>
                <w:color w:val="000000" w:themeColor="text1"/>
                <w:szCs w:val="24"/>
              </w:rPr>
            </w:pPr>
            <w:r>
              <w:rPr>
                <w:rFonts w:hint="eastAsia"/>
                <w:color w:val="000000" w:themeColor="text1"/>
                <w:szCs w:val="24"/>
              </w:rPr>
              <w:t>千曲坂城消防本部</w:t>
            </w:r>
          </w:p>
          <w:p w:rsidR="00B71B1E" w:rsidRPr="007B22E2" w:rsidRDefault="00787C5B" w:rsidP="00787C5B">
            <w:pPr>
              <w:spacing w:line="280" w:lineRule="exact"/>
              <w:ind w:firstLineChars="1200" w:firstLine="2516"/>
              <w:rPr>
                <w:color w:val="000000" w:themeColor="text1"/>
              </w:rPr>
            </w:pPr>
            <w:r w:rsidRPr="007B22E2">
              <w:rPr>
                <w:rFonts w:hint="eastAsia"/>
                <w:color w:val="000000" w:themeColor="text1"/>
                <w:szCs w:val="24"/>
              </w:rPr>
              <w:t>消防署長</w:t>
            </w:r>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39FA" w:rsidRDefault="00FE39FA" w:rsidP="00414E9C">
      <w:r>
        <w:separator/>
      </w:r>
    </w:p>
  </w:endnote>
  <w:endnote w:type="continuationSeparator" w:id="0">
    <w:p w:rsidR="00FE39FA" w:rsidRDefault="00FE39FA"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39FA" w:rsidRDefault="00FE39FA" w:rsidP="00414E9C">
      <w:r>
        <w:separator/>
      </w:r>
    </w:p>
  </w:footnote>
  <w:footnote w:type="continuationSeparator" w:id="0">
    <w:p w:rsidR="00FE39FA" w:rsidRDefault="00FE39FA"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744A5"/>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2E03"/>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E39FA"/>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1D090"/>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chikumasakaki</cp:lastModifiedBy>
  <cp:revision>2</cp:revision>
  <cp:lastPrinted>2025-07-07T01:49:00Z</cp:lastPrinted>
  <dcterms:created xsi:type="dcterms:W3CDTF">2025-07-07T01:49:00Z</dcterms:created>
  <dcterms:modified xsi:type="dcterms:W3CDTF">2025-07-07T01:51:00Z</dcterms:modified>
</cp:coreProperties>
</file>